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24D4B025"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987ED6">
        <w:rPr>
          <w:rFonts w:ascii="Verdana" w:hAnsi="Verdana" w:cstheme="minorHAnsi"/>
          <w:b/>
          <w:sz w:val="28"/>
          <w:szCs w:val="28"/>
          <w:u w:val="single"/>
        </w:rPr>
        <w:t>stejnokrojových bundokošil</w:t>
      </w:r>
      <w:r w:rsidR="00324DB1">
        <w:rPr>
          <w:rFonts w:ascii="Verdana" w:hAnsi="Verdana" w:cstheme="minorHAnsi"/>
          <w:b/>
          <w:sz w:val="28"/>
          <w:szCs w:val="28"/>
          <w:u w:val="single"/>
        </w:rPr>
        <w:t xml:space="preserve"> - 202</w:t>
      </w:r>
      <w:r w:rsidR="00BA3229">
        <w:rPr>
          <w:rFonts w:ascii="Verdana" w:hAnsi="Verdana" w:cstheme="minorHAnsi"/>
          <w:b/>
          <w:sz w:val="28"/>
          <w:szCs w:val="28"/>
          <w:u w:val="single"/>
        </w:rPr>
        <w:t>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66BD0280"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987ED6">
        <w:rPr>
          <w:rFonts w:ascii="Verdana" w:hAnsi="Verdana" w:cstheme="minorHAnsi"/>
          <w:sz w:val="18"/>
          <w:szCs w:val="18"/>
        </w:rPr>
        <w:t>stejnokrojových bundokošil</w:t>
      </w:r>
      <w:r w:rsidR="00324DB1">
        <w:rPr>
          <w:rFonts w:ascii="Verdana" w:hAnsi="Verdana" w:cstheme="minorHAnsi"/>
          <w:sz w:val="18"/>
          <w:szCs w:val="18"/>
        </w:rPr>
        <w:t xml:space="preserve"> - 202</w:t>
      </w:r>
      <w:r w:rsidR="00BA3229">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č.j. </w:t>
      </w:r>
      <w:r w:rsidR="00987ED6">
        <w:rPr>
          <w:rFonts w:ascii="Verdana" w:hAnsi="Verdana" w:cstheme="minorHAnsi"/>
          <w:sz w:val="18"/>
          <w:szCs w:val="18"/>
        </w:rPr>
        <w:t>15353</w:t>
      </w:r>
      <w:r w:rsidR="0028027F">
        <w:rPr>
          <w:rFonts w:ascii="Verdana" w:hAnsi="Verdana" w:cstheme="minorHAnsi"/>
          <w:sz w:val="18"/>
          <w:szCs w:val="18"/>
        </w:rPr>
        <w:t>/202</w:t>
      </w:r>
      <w:r w:rsidR="00BA3229">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4A90656" w:rsidR="00893290"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3650708" w14:textId="77777777" w:rsidR="00987ED6" w:rsidRPr="00987ED6" w:rsidRDefault="00987ED6" w:rsidP="00987ED6">
      <w:pPr>
        <w:pStyle w:val="acnormal"/>
      </w:pP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lastRenderedPageBreak/>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55930419"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04111086" w14:textId="77777777" w:rsidR="00987ED6" w:rsidRPr="008B5521" w:rsidRDefault="00987ED6" w:rsidP="00987ED6">
      <w:pPr>
        <w:tabs>
          <w:tab w:val="left" w:pos="0"/>
        </w:tabs>
        <w:spacing w:before="120" w:after="120" w:line="360" w:lineRule="auto"/>
        <w:ind w:left="1440"/>
        <w:rPr>
          <w:rFonts w:ascii="Verdana" w:hAnsi="Verdana" w:cstheme="minorHAnsi"/>
          <w:sz w:val="18"/>
          <w:szCs w:val="18"/>
        </w:rPr>
      </w:pP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FF7F78A"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2E0FD1" w:rsidRPr="002410D2">
        <w:rPr>
          <w:rFonts w:ascii="Verdana" w:hAnsi="Verdana" w:cstheme="minorHAnsi"/>
          <w:sz w:val="18"/>
          <w:szCs w:val="18"/>
        </w:rPr>
        <w:t>5</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496A1E1"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BA3229">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987ED6">
        <w:rPr>
          <w:rFonts w:ascii="Verdana" w:hAnsi="Verdana" w:cstheme="minorHAnsi"/>
          <w:sz w:val="18"/>
          <w:szCs w:val="18"/>
        </w:rPr>
        <w:t>10</w:t>
      </w:r>
      <w:r w:rsidR="00E768D6">
        <w:rPr>
          <w:rFonts w:ascii="Verdana" w:hAnsi="Verdana" w:cstheme="minorHAnsi"/>
          <w:sz w:val="18"/>
          <w:szCs w:val="18"/>
        </w:rPr>
        <w:t>.</w:t>
      </w:r>
      <w:r w:rsidR="00987ED6">
        <w:rPr>
          <w:rFonts w:ascii="Verdana" w:hAnsi="Verdana" w:cstheme="minorHAnsi"/>
          <w:sz w:val="18"/>
          <w:szCs w:val="18"/>
        </w:rPr>
        <w:t>5</w:t>
      </w:r>
      <w:r w:rsidR="00BA3229">
        <w:rPr>
          <w:rFonts w:ascii="Verdana" w:hAnsi="Verdana" w:cstheme="minorHAnsi"/>
          <w:sz w:val="18"/>
          <w:szCs w:val="18"/>
        </w:rPr>
        <w:t>95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w:t>
      </w:r>
      <w:r w:rsidRPr="00897AB7">
        <w:rPr>
          <w:rFonts w:ascii="Verdana" w:hAnsi="Verdana" w:cstheme="minorHAnsi"/>
          <w:sz w:val="18"/>
          <w:szCs w:val="18"/>
        </w:rPr>
        <w:lastRenderedPageBreak/>
        <w:t xml:space="preserve">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987ED6">
        <w:rPr>
          <w:rFonts w:ascii="Verdana" w:hAnsi="Verdana" w:cstheme="minorHAnsi"/>
          <w:sz w:val="18"/>
          <w:szCs w:val="18"/>
        </w:rPr>
        <w:t>10</w:t>
      </w:r>
      <w:r w:rsidR="002E0FD1">
        <w:rPr>
          <w:rFonts w:ascii="Verdana" w:hAnsi="Verdana" w:cstheme="minorHAnsi"/>
          <w:sz w:val="18"/>
          <w:szCs w:val="18"/>
        </w:rPr>
        <w:t>.</w:t>
      </w:r>
      <w:r w:rsidR="00987ED6">
        <w:rPr>
          <w:rFonts w:ascii="Verdana" w:hAnsi="Verdana" w:cstheme="minorHAnsi"/>
          <w:sz w:val="18"/>
          <w:szCs w:val="18"/>
        </w:rPr>
        <w:t>6</w:t>
      </w:r>
      <w:r w:rsidR="002E0FD1">
        <w:rPr>
          <w:rFonts w:ascii="Verdana" w:hAnsi="Verdana" w:cstheme="minorHAnsi"/>
          <w:sz w:val="18"/>
          <w:szCs w:val="18"/>
        </w:rPr>
        <w:t>0</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měřenek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32A8657E" w14:textId="77777777" w:rsidR="00987ED6" w:rsidRPr="00F61175" w:rsidRDefault="00E768D6" w:rsidP="00987E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max. do 30 dnů od doručení objednávky, pokud Kupující neuvede v dílčí objednávce jiný termín</w:t>
      </w:r>
      <w:r w:rsidRPr="002410D2">
        <w:rPr>
          <w:rFonts w:ascii="Verdana" w:hAnsi="Verdana" w:cstheme="minorHAnsi"/>
          <w:sz w:val="18"/>
          <w:szCs w:val="18"/>
        </w:rPr>
        <w:t>. Prodávající je povinen tyto lhůty dodržet.</w:t>
      </w:r>
      <w:r w:rsidR="00987ED6">
        <w:rPr>
          <w:rFonts w:ascii="Verdana" w:hAnsi="Verdana" w:cstheme="minorHAnsi"/>
          <w:sz w:val="18"/>
          <w:szCs w:val="18"/>
        </w:rPr>
        <w:t xml:space="preserve"> Výrobky zhotovené na míru uživatele (měřenky) Prodávající dodá Kupujícímu </w:t>
      </w:r>
      <w:r w:rsidR="00987ED6" w:rsidRPr="00F61175">
        <w:rPr>
          <w:rFonts w:ascii="Verdana" w:hAnsi="Verdana" w:cstheme="minorHAnsi"/>
          <w:sz w:val="18"/>
          <w:szCs w:val="18"/>
        </w:rPr>
        <w:t>nejpozději do 30 dnů od doručení objednávky.</w:t>
      </w:r>
    </w:p>
    <w:p w14:paraId="334429BC" w14:textId="77777777" w:rsidR="00987ED6" w:rsidRPr="00F61175" w:rsidRDefault="00987ED6" w:rsidP="00987ED6">
      <w:pPr>
        <w:pStyle w:val="acnormalbulleted"/>
        <w:numPr>
          <w:ilvl w:val="0"/>
          <w:numId w:val="1"/>
        </w:numPr>
        <w:ind w:left="357" w:hanging="357"/>
        <w:rPr>
          <w:rFonts w:ascii="Verdana" w:hAnsi="Verdana" w:cstheme="minorHAnsi"/>
          <w:sz w:val="18"/>
          <w:szCs w:val="18"/>
        </w:rPr>
      </w:pPr>
      <w:r w:rsidRPr="00F61175">
        <w:rPr>
          <w:rFonts w:ascii="Verdana" w:eastAsiaTheme="majorEastAsia" w:hAnsi="Verdana" w:cstheme="minorHAnsi"/>
          <w:bCs/>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3 kalendářní dny před sjednaným termínem plnění, dohodnout s druhou Smluvní stranou a písemně stvrdit náhradní dobu plnění, která bude stanovena v přiměřené lhůtě s ohledem na povahu a druh dodávaného zboží a bude odsouhlasena oběma smluvními stranami. V žádosti o náhradní dobu plnění je třeba uvést řádné odůvodnění této změny a navrhovanou náhradní dobu plnění, pokud je odlišná od doby stanovené níže. Náhradní doba plnění se uskuteční nejpozději do 1 měsíce od sjednaného termínu plnění, nedohodnou-li se obě smluvní strany jinak.</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4617477F" w:rsidR="00E768D6"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061EBFB6" w14:textId="335CFAA0" w:rsidR="00987ED6" w:rsidRDefault="00987ED6" w:rsidP="00987ED6">
      <w:pPr>
        <w:pStyle w:val="Bezmezer"/>
      </w:pPr>
    </w:p>
    <w:p w14:paraId="1107A9DD" w14:textId="77777777" w:rsidR="00987ED6" w:rsidRPr="00987ED6" w:rsidRDefault="00987ED6" w:rsidP="00987ED6">
      <w:pPr>
        <w:pStyle w:val="Bezmeze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60712171"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00DF7667">
        <w:rPr>
          <w:rFonts w:ascii="Verdana" w:eastAsiaTheme="majorEastAsia" w:hAnsi="Verdana" w:cstheme="minorHAnsi"/>
          <w:bCs/>
          <w:sz w:val="18"/>
          <w:szCs w:val="18"/>
        </w:rPr>
        <w:t>.</w:t>
      </w:r>
    </w:p>
    <w:p w14:paraId="1612C860" w14:textId="784A52BB" w:rsidR="002E2D6F" w:rsidRPr="00DF7667"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DF7667">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DF7667"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DF7667">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Pr="00DF7667"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DF7667">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3ED60FAF" w14:textId="77777777" w:rsidR="002E2D6F" w:rsidRPr="00DF7667"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DF7667">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lastRenderedPageBreak/>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755EB15" w:rsidR="006A4A0B" w:rsidRDefault="006A4A0B" w:rsidP="00962124">
      <w:pPr>
        <w:numPr>
          <w:ilvl w:val="0"/>
          <w:numId w:val="2"/>
        </w:numPr>
        <w:tabs>
          <w:tab w:val="clear" w:pos="502"/>
        </w:tabs>
        <w:spacing w:before="120" w:after="120"/>
        <w:ind w:left="426" w:firstLine="0"/>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použít poddodavatele uvedené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554DD5E" w14:textId="77777777" w:rsidR="00087A6D" w:rsidRPr="00545D17" w:rsidRDefault="00087A6D" w:rsidP="004E4A77">
      <w:pPr>
        <w:numPr>
          <w:ilvl w:val="0"/>
          <w:numId w:val="2"/>
        </w:numPr>
        <w:tabs>
          <w:tab w:val="clear" w:pos="502"/>
        </w:tabs>
        <w:spacing w:before="120" w:after="120"/>
        <w:ind w:left="426" w:hanging="426"/>
        <w:rPr>
          <w:rFonts w:ascii="Verdana" w:eastAsia="Times New Roman" w:hAnsi="Verdana"/>
          <w:color w:val="000000" w:themeColor="text1"/>
          <w:sz w:val="18"/>
          <w:szCs w:val="18"/>
          <w:lang w:eastAsia="cs-CZ"/>
        </w:rPr>
      </w:pPr>
      <w:r w:rsidRPr="00545D17">
        <w:rPr>
          <w:rFonts w:ascii="Verdana" w:eastAsia="Times New Roman" w:hAnsi="Verdana"/>
          <w:color w:val="000000" w:themeColor="text1"/>
          <w:sz w:val="18"/>
          <w:szCs w:val="18"/>
          <w:lang w:eastAsia="cs-CZ"/>
        </w:rPr>
        <w:t xml:space="preserve">Rovnocenné podmínky v rámci poddodavatelského řetězce </w:t>
      </w:r>
    </w:p>
    <w:p w14:paraId="13BD3EC3" w14:textId="31FAA805" w:rsidR="00087A6D" w:rsidRPr="00545D17" w:rsidRDefault="007005FB" w:rsidP="004E4A77">
      <w:pPr>
        <w:pStyle w:val="Nadpis3"/>
        <w:keepNext w:val="0"/>
        <w:keepLines w:val="0"/>
        <w:numPr>
          <w:ilvl w:val="1"/>
          <w:numId w:val="3"/>
        </w:numPr>
        <w:overflowPunct w:val="0"/>
        <w:autoSpaceDE w:val="0"/>
        <w:autoSpaceDN w:val="0"/>
        <w:adjustRightInd w:val="0"/>
        <w:spacing w:before="0"/>
        <w:contextualSpacing/>
        <w:textAlignment w:val="baseline"/>
        <w:rPr>
          <w:rFonts w:ascii="Verdana" w:hAnsi="Verdana"/>
          <w:b w:val="0"/>
          <w:color w:val="000000" w:themeColor="text1"/>
          <w:sz w:val="18"/>
          <w:szCs w:val="18"/>
        </w:rPr>
      </w:pPr>
      <w:r w:rsidRPr="00545D17">
        <w:rPr>
          <w:rFonts w:ascii="Verdana" w:hAnsi="Verdana"/>
          <w:b w:val="0"/>
          <w:color w:val="000000" w:themeColor="text1"/>
          <w:sz w:val="18"/>
          <w:szCs w:val="18"/>
        </w:rPr>
        <w:t>Prodávající</w:t>
      </w:r>
      <w:r w:rsidR="00087A6D" w:rsidRPr="00545D17">
        <w:rPr>
          <w:rFonts w:ascii="Verdana" w:hAnsi="Verdana"/>
          <w:b w:val="0"/>
          <w:color w:val="000000" w:themeColor="text1"/>
          <w:sz w:val="18"/>
          <w:szCs w:val="18"/>
        </w:rPr>
        <w:t xml:space="preserve"> se zavazuje ujednat si s dalšími osobami, které se na jeho straně podílejí na plnění Předmětu </w:t>
      </w:r>
      <w:r w:rsidRPr="00545D17">
        <w:rPr>
          <w:rFonts w:ascii="Verdana" w:hAnsi="Verdana"/>
          <w:b w:val="0"/>
          <w:color w:val="000000" w:themeColor="text1"/>
          <w:sz w:val="18"/>
          <w:szCs w:val="18"/>
        </w:rPr>
        <w:t>dodávek</w:t>
      </w:r>
      <w:r w:rsidR="00087A6D" w:rsidRPr="00545D17">
        <w:rPr>
          <w:rFonts w:ascii="Verdana" w:hAnsi="Verdana"/>
          <w:b w:val="0"/>
          <w:color w:val="000000" w:themeColor="text1"/>
          <w:sz w:val="18"/>
          <w:szCs w:val="18"/>
        </w:rPr>
        <w:t xml:space="preserve">, a jsou podnikateli (dále jen „smluvní partneři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stejnou nebo kratší dobu splatnosti daňových dokladů, jaká je sjednána v této </w:t>
      </w:r>
      <w:r w:rsidRPr="00545D17">
        <w:rPr>
          <w:rFonts w:ascii="Verdana" w:hAnsi="Verdana"/>
          <w:b w:val="0"/>
          <w:color w:val="000000" w:themeColor="text1"/>
          <w:sz w:val="18"/>
          <w:szCs w:val="18"/>
        </w:rPr>
        <w:t>Rámcové dohodě</w:t>
      </w:r>
      <w:r w:rsidR="00087A6D" w:rsidRPr="00545D17">
        <w:rPr>
          <w:rFonts w:ascii="Verdana" w:hAnsi="Verdana"/>
          <w:b w:val="0"/>
          <w:color w:val="000000" w:themeColor="text1"/>
          <w:sz w:val="18"/>
          <w:szCs w:val="18"/>
        </w:rPr>
        <w:t xml:space="preserve">. </w:t>
      </w:r>
      <w:r w:rsidRPr="00545D17">
        <w:rPr>
          <w:rFonts w:ascii="Verdana" w:hAnsi="Verdana"/>
          <w:b w:val="0"/>
          <w:color w:val="000000" w:themeColor="text1"/>
          <w:sz w:val="18"/>
          <w:szCs w:val="18"/>
        </w:rPr>
        <w:t>Prodávající</w:t>
      </w:r>
      <w:r w:rsidR="00087A6D" w:rsidRPr="00545D17">
        <w:rPr>
          <w:rFonts w:ascii="Verdana" w:hAnsi="Verdana"/>
          <w:b w:val="0"/>
          <w:color w:val="000000" w:themeColor="text1"/>
          <w:sz w:val="18"/>
          <w:szCs w:val="18"/>
        </w:rPr>
        <w:t xml:space="preserve"> se zavazuje na písemnou výzvu předložit </w:t>
      </w:r>
      <w:r w:rsidRPr="00545D17">
        <w:rPr>
          <w:rFonts w:ascii="Verdana" w:hAnsi="Verdana"/>
          <w:b w:val="0"/>
          <w:color w:val="000000" w:themeColor="text1"/>
          <w:sz w:val="18"/>
          <w:szCs w:val="18"/>
        </w:rPr>
        <w:t>Kupujícímu</w:t>
      </w:r>
      <w:r w:rsidR="00087A6D" w:rsidRPr="00545D17">
        <w:rPr>
          <w:rFonts w:ascii="Verdana" w:hAnsi="Verdana"/>
          <w:b w:val="0"/>
          <w:color w:val="000000" w:themeColor="text1"/>
          <w:sz w:val="18"/>
          <w:szCs w:val="18"/>
        </w:rPr>
        <w:t xml:space="preserve"> do tří pracovních dnů od doručení výzvy smluvní dokumentaci (včetně jejich případných změn) se smluvními partnery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uvedenými ve výzvě </w:t>
      </w:r>
      <w:r w:rsidRPr="00545D17">
        <w:rPr>
          <w:rFonts w:ascii="Verdana" w:hAnsi="Verdana"/>
          <w:b w:val="0"/>
          <w:color w:val="000000" w:themeColor="text1"/>
          <w:sz w:val="18"/>
          <w:szCs w:val="18"/>
        </w:rPr>
        <w:t>Kupujícího</w:t>
      </w:r>
      <w:r w:rsidR="00087A6D" w:rsidRPr="00545D17">
        <w:rPr>
          <w:rFonts w:ascii="Verdana" w:hAnsi="Verdana"/>
          <w:b w:val="0"/>
          <w:color w:val="000000" w:themeColor="text1"/>
          <w:sz w:val="18"/>
          <w:szCs w:val="18"/>
        </w:rPr>
        <w:t xml:space="preserve">, ze kterých bude vyplývat splnění povinnosti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dle předchozí věty. Předkládaná smluvní dokumentace bude anonymizována tak, aby neobsahovala osobní údaje či obchodní tajemství dodavatele či smluvních partnerů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musí z ní však vždy být zřejmé splnění povinnosti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dle tohoto odstavce </w:t>
      </w:r>
      <w:r w:rsidRPr="00545D17">
        <w:rPr>
          <w:rFonts w:ascii="Verdana" w:hAnsi="Verdana"/>
          <w:b w:val="0"/>
          <w:color w:val="000000" w:themeColor="text1"/>
          <w:sz w:val="18"/>
          <w:szCs w:val="18"/>
        </w:rPr>
        <w:t>Rámcové dohody</w:t>
      </w:r>
      <w:r w:rsidR="00087A6D" w:rsidRPr="00545D17">
        <w:rPr>
          <w:rFonts w:ascii="Verdana" w:hAnsi="Verdana"/>
          <w:b w:val="0"/>
          <w:color w:val="000000" w:themeColor="text1"/>
          <w:sz w:val="18"/>
          <w:szCs w:val="18"/>
        </w:rPr>
        <w:t>.</w:t>
      </w:r>
    </w:p>
    <w:p w14:paraId="0DF6140E" w14:textId="77777777" w:rsidR="004E4A77" w:rsidRPr="00545D17" w:rsidRDefault="004E4A77" w:rsidP="004E4A77">
      <w:pPr>
        <w:pStyle w:val="Odstavecseseznamem"/>
        <w:ind w:left="779"/>
        <w:rPr>
          <w:color w:val="000000" w:themeColor="text1"/>
        </w:rPr>
      </w:pPr>
    </w:p>
    <w:p w14:paraId="5E1D699F" w14:textId="6A141776" w:rsidR="00087A6D" w:rsidRPr="00545D17" w:rsidRDefault="007005FB" w:rsidP="004E4A77">
      <w:pPr>
        <w:pStyle w:val="Nadpis3"/>
        <w:keepNext w:val="0"/>
        <w:keepLines w:val="0"/>
        <w:numPr>
          <w:ilvl w:val="1"/>
          <w:numId w:val="3"/>
        </w:numPr>
        <w:overflowPunct w:val="0"/>
        <w:autoSpaceDE w:val="0"/>
        <w:autoSpaceDN w:val="0"/>
        <w:adjustRightInd w:val="0"/>
        <w:spacing w:before="0"/>
        <w:contextualSpacing/>
        <w:textAlignment w:val="baseline"/>
        <w:rPr>
          <w:rFonts w:ascii="Verdana" w:hAnsi="Verdana"/>
          <w:b w:val="0"/>
          <w:color w:val="000000" w:themeColor="text1"/>
          <w:sz w:val="18"/>
          <w:szCs w:val="18"/>
        </w:rPr>
      </w:pPr>
      <w:r w:rsidRPr="00545D17">
        <w:rPr>
          <w:rFonts w:ascii="Verdana" w:hAnsi="Verdana"/>
          <w:b w:val="0"/>
          <w:color w:val="000000" w:themeColor="text1"/>
          <w:sz w:val="18"/>
          <w:szCs w:val="18"/>
        </w:rPr>
        <w:t>Prodávající</w:t>
      </w:r>
      <w:r w:rsidR="00087A6D" w:rsidRPr="00545D17">
        <w:rPr>
          <w:rFonts w:ascii="Verdana" w:hAnsi="Verdana"/>
          <w:b w:val="0"/>
          <w:color w:val="000000" w:themeColor="text1"/>
          <w:sz w:val="18"/>
          <w:szCs w:val="18"/>
        </w:rPr>
        <w:t xml:space="preserve"> se zavazuje uhradit smluvní pokutu ve výši 5.000,- Kč za každý byť i započatý den prodlení se splněním povinnosti předložit smluvní dokumentaci dle předchozího odstavce </w:t>
      </w:r>
      <w:r w:rsidRPr="00545D17">
        <w:rPr>
          <w:rFonts w:ascii="Verdana" w:hAnsi="Verdana"/>
          <w:b w:val="0"/>
          <w:color w:val="000000" w:themeColor="text1"/>
          <w:sz w:val="18"/>
          <w:szCs w:val="18"/>
        </w:rPr>
        <w:t>Rámcové dohody</w:t>
      </w:r>
      <w:r w:rsidR="00087A6D" w:rsidRPr="00545D17">
        <w:rPr>
          <w:rFonts w:ascii="Verdana" w:hAnsi="Verdana"/>
          <w:b w:val="0"/>
          <w:color w:val="000000" w:themeColor="text1"/>
          <w:sz w:val="18"/>
          <w:szCs w:val="18"/>
        </w:rPr>
        <w:t xml:space="preserve">. </w:t>
      </w:r>
      <w:r w:rsidRPr="00545D17">
        <w:rPr>
          <w:rFonts w:ascii="Verdana" w:hAnsi="Verdana"/>
          <w:b w:val="0"/>
          <w:color w:val="000000" w:themeColor="text1"/>
          <w:sz w:val="18"/>
          <w:szCs w:val="18"/>
        </w:rPr>
        <w:t>Prodávající</w:t>
      </w:r>
      <w:r w:rsidR="00087A6D" w:rsidRPr="00545D17">
        <w:rPr>
          <w:rFonts w:ascii="Verdana" w:hAnsi="Verdana"/>
          <w:b w:val="0"/>
          <w:color w:val="000000" w:themeColor="text1"/>
          <w:sz w:val="18"/>
          <w:szCs w:val="18"/>
        </w:rPr>
        <w:t xml:space="preserve"> se dále zavazuje uhradit smluvní pokutu ve výši 5.000,- Kč za každý byť i započatý den, po který porušil svou povinnost mít se smluvními partnery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stejnou nebo kratší dobu splatnosti daňových dokladů, jaká je sjednána v této </w:t>
      </w:r>
      <w:r w:rsidRPr="00545D17">
        <w:rPr>
          <w:rFonts w:ascii="Verdana" w:hAnsi="Verdana"/>
          <w:b w:val="0"/>
          <w:color w:val="000000" w:themeColor="text1"/>
          <w:sz w:val="18"/>
          <w:szCs w:val="18"/>
        </w:rPr>
        <w:t>Rámcové dohodě</w:t>
      </w:r>
      <w:r w:rsidR="00087A6D" w:rsidRPr="00545D17">
        <w:rPr>
          <w:rFonts w:ascii="Verdana" w:hAnsi="Verdana"/>
          <w:b w:val="0"/>
          <w:color w:val="000000" w:themeColor="text1"/>
          <w:sz w:val="18"/>
          <w:szCs w:val="18"/>
        </w:rPr>
        <w:t xml:space="preserve">. Smluvní sankce dle tohoto odstavce smlouvy lze v případě postupného porušení obou povinností </w:t>
      </w:r>
      <w:r w:rsidRPr="00545D17">
        <w:rPr>
          <w:rFonts w:ascii="Verdana" w:hAnsi="Verdana"/>
          <w:b w:val="0"/>
          <w:color w:val="000000" w:themeColor="text1"/>
          <w:sz w:val="18"/>
          <w:szCs w:val="18"/>
        </w:rPr>
        <w:t>Prodávajícího</w:t>
      </w:r>
      <w:r w:rsidR="00087A6D" w:rsidRPr="00545D17">
        <w:rPr>
          <w:rFonts w:ascii="Verdana" w:hAnsi="Verdana"/>
          <w:b w:val="0"/>
          <w:color w:val="000000" w:themeColor="text1"/>
          <w:sz w:val="18"/>
          <w:szCs w:val="18"/>
        </w:rPr>
        <w:t xml:space="preserve"> sčítat.</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76655" w14:textId="77777777" w:rsidR="00825CD9" w:rsidRDefault="00825CD9" w:rsidP="003706CB">
      <w:pPr>
        <w:spacing w:after="0" w:line="240" w:lineRule="auto"/>
      </w:pPr>
      <w:r>
        <w:separator/>
      </w:r>
    </w:p>
  </w:endnote>
  <w:endnote w:type="continuationSeparator" w:id="0">
    <w:p w14:paraId="5C2EB824" w14:textId="77777777" w:rsidR="00825CD9" w:rsidRDefault="00825CD9" w:rsidP="003706CB">
      <w:pPr>
        <w:spacing w:after="0" w:line="240" w:lineRule="auto"/>
      </w:pPr>
      <w:r>
        <w:continuationSeparator/>
      </w:r>
    </w:p>
  </w:endnote>
  <w:endnote w:type="continuationNotice" w:id="1">
    <w:p w14:paraId="5164CF2C" w14:textId="77777777" w:rsidR="00825CD9" w:rsidRDefault="00825C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7C2BA1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C7D0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C7D00">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51759823"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4C7D0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4C7D00">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EEC46" w14:textId="77777777" w:rsidR="00825CD9" w:rsidRDefault="00825CD9" w:rsidP="003706CB">
      <w:pPr>
        <w:spacing w:after="0" w:line="240" w:lineRule="auto"/>
      </w:pPr>
      <w:r>
        <w:separator/>
      </w:r>
    </w:p>
  </w:footnote>
  <w:footnote w:type="continuationSeparator" w:id="0">
    <w:p w14:paraId="2D6C4AD3" w14:textId="77777777" w:rsidR="00825CD9" w:rsidRDefault="00825CD9" w:rsidP="003706CB">
      <w:pPr>
        <w:spacing w:after="0" w:line="240" w:lineRule="auto"/>
      </w:pPr>
      <w:r>
        <w:continuationSeparator/>
      </w:r>
    </w:p>
  </w:footnote>
  <w:footnote w:type="continuationNotice" w:id="1">
    <w:p w14:paraId="66356BA7" w14:textId="77777777" w:rsidR="00825CD9" w:rsidRDefault="00825C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F254A72"/>
    <w:multiLevelType w:val="multilevel"/>
    <w:tmpl w:val="CC86A7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multilevel"/>
    <w:tmpl w:val="F0162836"/>
    <w:lvl w:ilvl="0">
      <w:start w:val="1"/>
      <w:numFmt w:val="decimal"/>
      <w:lvlText w:val="%1."/>
      <w:lvlJc w:val="left"/>
      <w:pPr>
        <w:tabs>
          <w:tab w:val="num" w:pos="360"/>
        </w:tabs>
        <w:ind w:left="360" w:hanging="360"/>
      </w:pPr>
      <w:rPr>
        <w:color w:val="auto"/>
      </w:rPr>
    </w:lvl>
    <w:lvl w:ilvl="1">
      <w:start w:val="1"/>
      <w:numFmt w:val="decimal"/>
      <w:isLgl/>
      <w:lvlText w:val="%1.%2"/>
      <w:lvlJc w:val="left"/>
      <w:pPr>
        <w:ind w:left="779" w:hanging="360"/>
      </w:pPr>
      <w:rPr>
        <w:rFonts w:hint="default"/>
      </w:rPr>
    </w:lvl>
    <w:lvl w:ilvl="2">
      <w:start w:val="1"/>
      <w:numFmt w:val="decimal"/>
      <w:isLgl/>
      <w:lvlText w:val="%1.%2.%3"/>
      <w:lvlJc w:val="left"/>
      <w:pPr>
        <w:ind w:left="1558" w:hanging="720"/>
      </w:pPr>
      <w:rPr>
        <w:rFonts w:hint="default"/>
      </w:rPr>
    </w:lvl>
    <w:lvl w:ilvl="3">
      <w:start w:val="1"/>
      <w:numFmt w:val="decimal"/>
      <w:isLgl/>
      <w:lvlText w:val="%1.%2.%3.%4"/>
      <w:lvlJc w:val="left"/>
      <w:pPr>
        <w:ind w:left="1977" w:hanging="720"/>
      </w:pPr>
      <w:rPr>
        <w:rFonts w:hint="default"/>
      </w:rPr>
    </w:lvl>
    <w:lvl w:ilvl="4">
      <w:start w:val="1"/>
      <w:numFmt w:val="decimal"/>
      <w:isLgl/>
      <w:lvlText w:val="%1.%2.%3.%4.%5"/>
      <w:lvlJc w:val="left"/>
      <w:pPr>
        <w:ind w:left="2396" w:hanging="72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594" w:hanging="1080"/>
      </w:pPr>
      <w:rPr>
        <w:rFonts w:hint="default"/>
      </w:rPr>
    </w:lvl>
    <w:lvl w:ilvl="7">
      <w:start w:val="1"/>
      <w:numFmt w:val="decimal"/>
      <w:isLgl/>
      <w:lvlText w:val="%1.%2.%3.%4.%5.%6.%7.%8"/>
      <w:lvlJc w:val="left"/>
      <w:pPr>
        <w:ind w:left="4373" w:hanging="1440"/>
      </w:pPr>
      <w:rPr>
        <w:rFonts w:hint="default"/>
      </w:rPr>
    </w:lvl>
    <w:lvl w:ilvl="8">
      <w:start w:val="1"/>
      <w:numFmt w:val="decimal"/>
      <w:isLgl/>
      <w:lvlText w:val="%1.%2.%3.%4.%5.%6.%7.%8.%9"/>
      <w:lvlJc w:val="left"/>
      <w:pPr>
        <w:ind w:left="4792" w:hanging="1440"/>
      </w:pPr>
      <w:rPr>
        <w:rFonts w:hint="default"/>
      </w:r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3"/>
  </w:num>
  <w:num w:numId="2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87A6D"/>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0F4D"/>
    <w:rsid w:val="001E20FA"/>
    <w:rsid w:val="002045B1"/>
    <w:rsid w:val="00211202"/>
    <w:rsid w:val="002171E6"/>
    <w:rsid w:val="00220472"/>
    <w:rsid w:val="0022127F"/>
    <w:rsid w:val="0022305B"/>
    <w:rsid w:val="0022507E"/>
    <w:rsid w:val="00227803"/>
    <w:rsid w:val="0023151B"/>
    <w:rsid w:val="00235748"/>
    <w:rsid w:val="00237834"/>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C7D00"/>
    <w:rsid w:val="004D235B"/>
    <w:rsid w:val="004D3F5F"/>
    <w:rsid w:val="004E4A77"/>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5D17"/>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2822"/>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5FB"/>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5CD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2124"/>
    <w:rsid w:val="00964953"/>
    <w:rsid w:val="00966347"/>
    <w:rsid w:val="00972745"/>
    <w:rsid w:val="00976F5F"/>
    <w:rsid w:val="009801AE"/>
    <w:rsid w:val="00981807"/>
    <w:rsid w:val="00987103"/>
    <w:rsid w:val="0098748B"/>
    <w:rsid w:val="00987ED6"/>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209F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229"/>
    <w:rsid w:val="00BA3F41"/>
    <w:rsid w:val="00BA4430"/>
    <w:rsid w:val="00BA5837"/>
    <w:rsid w:val="00BA7E2F"/>
    <w:rsid w:val="00BB0757"/>
    <w:rsid w:val="00BB1A24"/>
    <w:rsid w:val="00BB38F3"/>
    <w:rsid w:val="00BB5E7C"/>
    <w:rsid w:val="00BC380A"/>
    <w:rsid w:val="00BC5D86"/>
    <w:rsid w:val="00BD7195"/>
    <w:rsid w:val="00BE24DE"/>
    <w:rsid w:val="00BF2011"/>
    <w:rsid w:val="00BF482C"/>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DF7667"/>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C4173D20-6751-466E-8C48-ABD9EF0CE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087A6D"/>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087A6D"/>
    <w:pPr>
      <w:keepNext/>
      <w:keepLines/>
      <w:spacing w:before="240" w:after="0" w:line="264" w:lineRule="auto"/>
      <w:ind w:left="864" w:hanging="864"/>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087A6D"/>
    <w:pPr>
      <w:keepNext/>
      <w:keepLines/>
      <w:spacing w:before="40" w:after="0" w:line="264" w:lineRule="auto"/>
      <w:ind w:left="1008" w:hanging="1008"/>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unhideWhenUsed/>
    <w:qFormat/>
    <w:rsid w:val="00087A6D"/>
    <w:pPr>
      <w:keepNext/>
      <w:keepLines/>
      <w:spacing w:before="40" w:after="0" w:line="264" w:lineRule="auto"/>
      <w:ind w:left="1152" w:hanging="1152"/>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unhideWhenUsed/>
    <w:qFormat/>
    <w:rsid w:val="00087A6D"/>
    <w:pPr>
      <w:keepNext/>
      <w:keepLines/>
      <w:spacing w:before="40" w:after="0" w:line="264" w:lineRule="auto"/>
      <w:ind w:left="1296" w:hanging="1296"/>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087A6D"/>
    <w:pPr>
      <w:keepNext/>
      <w:keepLines/>
      <w:spacing w:before="40" w:after="0" w:line="264" w:lineRule="auto"/>
      <w:ind w:left="1440" w:hanging="1440"/>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087A6D"/>
    <w:pPr>
      <w:keepNext/>
      <w:keepLines/>
      <w:spacing w:before="40" w:after="0" w:line="264" w:lineRule="auto"/>
      <w:ind w:left="1584" w:hanging="1584"/>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semiHidden/>
    <w:rsid w:val="00087A6D"/>
    <w:rPr>
      <w:rFonts w:asciiTheme="majorHAnsi" w:eastAsiaTheme="majorEastAsia" w:hAnsiTheme="majorHAnsi" w:cstheme="majorBidi"/>
      <w:b/>
      <w:bCs/>
      <w:color w:val="4F81BD" w:themeColor="accent1"/>
      <w:sz w:val="20"/>
    </w:rPr>
  </w:style>
  <w:style w:type="character" w:customStyle="1" w:styleId="Nadpis4Char">
    <w:name w:val="Nadpis 4 Char"/>
    <w:basedOn w:val="Standardnpsmoodstavce"/>
    <w:link w:val="Nadpis4"/>
    <w:uiPriority w:val="9"/>
    <w:rsid w:val="00087A6D"/>
    <w:rPr>
      <w:rFonts w:asciiTheme="majorHAnsi" w:eastAsiaTheme="majorEastAsia" w:hAnsiTheme="majorHAnsi" w:cstheme="majorBidi"/>
      <w:b/>
      <w:iCs/>
      <w:sz w:val="18"/>
      <w:szCs w:val="18"/>
    </w:rPr>
  </w:style>
  <w:style w:type="character" w:customStyle="1" w:styleId="Nadpis5Char">
    <w:name w:val="Nadpis 5 Char"/>
    <w:basedOn w:val="Standardnpsmoodstavce"/>
    <w:link w:val="Nadpis5"/>
    <w:uiPriority w:val="9"/>
    <w:rsid w:val="00087A6D"/>
    <w:rPr>
      <w:rFonts w:asciiTheme="majorHAnsi" w:eastAsiaTheme="majorEastAsia" w:hAnsiTheme="majorHAnsi" w:cstheme="majorBidi"/>
      <w:b/>
      <w:sz w:val="18"/>
      <w:szCs w:val="18"/>
    </w:rPr>
  </w:style>
  <w:style w:type="character" w:customStyle="1" w:styleId="Nadpis6Char">
    <w:name w:val="Nadpis 6 Char"/>
    <w:basedOn w:val="Standardnpsmoodstavce"/>
    <w:link w:val="Nadpis6"/>
    <w:uiPriority w:val="9"/>
    <w:rsid w:val="00087A6D"/>
    <w:rPr>
      <w:rFonts w:asciiTheme="majorHAnsi" w:eastAsiaTheme="majorEastAsia" w:hAnsiTheme="majorHAnsi" w:cstheme="majorBidi"/>
      <w:b/>
      <w:color w:val="000000" w:themeColor="text1"/>
      <w:sz w:val="18"/>
      <w:szCs w:val="18"/>
    </w:rPr>
  </w:style>
  <w:style w:type="character" w:customStyle="1" w:styleId="Nadpis7Char">
    <w:name w:val="Nadpis 7 Char"/>
    <w:basedOn w:val="Standardnpsmoodstavce"/>
    <w:link w:val="Nadpis7"/>
    <w:uiPriority w:val="9"/>
    <w:rsid w:val="00087A6D"/>
    <w:rPr>
      <w:rFonts w:asciiTheme="majorHAnsi" w:eastAsiaTheme="majorEastAsia" w:hAnsiTheme="majorHAnsi" w:cstheme="majorBidi"/>
      <w:b/>
      <w:iCs/>
      <w:color w:val="595959" w:themeColor="text1" w:themeTint="A6"/>
      <w:sz w:val="18"/>
      <w:szCs w:val="18"/>
    </w:rPr>
  </w:style>
  <w:style w:type="character" w:customStyle="1" w:styleId="Nadpis8Char">
    <w:name w:val="Nadpis 8 Char"/>
    <w:basedOn w:val="Standardnpsmoodstavce"/>
    <w:link w:val="Nadpis8"/>
    <w:uiPriority w:val="9"/>
    <w:semiHidden/>
    <w:rsid w:val="00087A6D"/>
    <w:rPr>
      <w:rFonts w:asciiTheme="majorHAnsi" w:eastAsiaTheme="majorEastAsia" w:hAnsiTheme="majorHAnsi" w:cstheme="majorBidi"/>
      <w:b/>
      <w:color w:val="595959" w:themeColor="text1" w:themeTint="A6"/>
      <w:sz w:val="18"/>
      <w:szCs w:val="21"/>
    </w:rPr>
  </w:style>
  <w:style w:type="character" w:customStyle="1" w:styleId="Nadpis9Char">
    <w:name w:val="Nadpis 9 Char"/>
    <w:basedOn w:val="Standardnpsmoodstavce"/>
    <w:link w:val="Nadpis9"/>
    <w:uiPriority w:val="9"/>
    <w:semiHidden/>
    <w:rsid w:val="00087A6D"/>
    <w:rPr>
      <w:rFonts w:asciiTheme="majorHAnsi" w:eastAsiaTheme="majorEastAsia" w:hAnsiTheme="majorHAnsi" w:cstheme="majorBidi"/>
      <w:b/>
      <w:iCs/>
      <w:color w:val="595959" w:themeColor="text1" w:themeTint="A6"/>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008373FD-C4C1-4D28-80A8-AD79F4A35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3310</Words>
  <Characters>19535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27</cp:revision>
  <cp:lastPrinted>2022-03-08T11:36:00Z</cp:lastPrinted>
  <dcterms:created xsi:type="dcterms:W3CDTF">2020-10-26T19:19:00Z</dcterms:created>
  <dcterms:modified xsi:type="dcterms:W3CDTF">2022-03-08T11:36:00Z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